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4519" w14:textId="456E02A7" w:rsidR="00F017C2" w:rsidRDefault="000575E5">
      <w:pPr>
        <w:rPr>
          <w:rFonts w:ascii="Arial" w:hAnsi="Arial" w:cs="Arial"/>
          <w:color w:val="0070C0"/>
          <w:sz w:val="44"/>
          <w:szCs w:val="44"/>
        </w:rPr>
      </w:pPr>
      <w:r w:rsidRPr="00F017C2">
        <w:rPr>
          <w:noProof/>
          <w:color w:val="0070C0"/>
        </w:rPr>
        <w:drawing>
          <wp:anchor distT="0" distB="0" distL="114300" distR="114300" simplePos="0" relativeHeight="251659264" behindDoc="0" locked="0" layoutInCell="1" allowOverlap="1" wp14:anchorId="5B15753B" wp14:editId="0AFD6CD4">
            <wp:simplePos x="0" y="0"/>
            <wp:positionH relativeFrom="column">
              <wp:posOffset>8305800</wp:posOffset>
            </wp:positionH>
            <wp:positionV relativeFrom="paragraph">
              <wp:posOffset>6350</wp:posOffset>
            </wp:positionV>
            <wp:extent cx="1336040" cy="539750"/>
            <wp:effectExtent l="0" t="0" r="0" b="0"/>
            <wp:wrapSquare wrapText="bothSides"/>
            <wp:docPr id="118250287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1336040" cy="539750"/>
                    </a:xfrm>
                    <a:prstGeom prst="rect">
                      <a:avLst/>
                    </a:prstGeom>
                  </pic:spPr>
                </pic:pic>
              </a:graphicData>
            </a:graphic>
            <wp14:sizeRelH relativeFrom="page">
              <wp14:pctWidth>0</wp14:pctWidth>
            </wp14:sizeRelH>
            <wp14:sizeRelV relativeFrom="page">
              <wp14:pctHeight>0</wp14:pctHeight>
            </wp14:sizeRelV>
          </wp:anchor>
        </w:drawing>
      </w:r>
      <w:r w:rsidRPr="00F017C2">
        <w:rPr>
          <w:rFonts w:ascii="Arial" w:hAnsi="Arial" w:cs="Arial"/>
          <w:color w:val="0070C0"/>
          <w:sz w:val="44"/>
          <w:szCs w:val="44"/>
        </w:rPr>
        <w:t>Wellbeing Guardian national support and development package</w:t>
      </w:r>
    </w:p>
    <w:p w14:paraId="28689497" w14:textId="77777777" w:rsidR="000F719D" w:rsidRDefault="000F719D">
      <w:pPr>
        <w:rPr>
          <w:rFonts w:ascii="Arial" w:hAnsi="Arial" w:cs="Arial"/>
          <w:color w:val="0070C0"/>
          <w:sz w:val="44"/>
          <w:szCs w:val="44"/>
        </w:rPr>
      </w:pPr>
    </w:p>
    <w:p w14:paraId="03F659CF" w14:textId="77777777" w:rsidR="000F719D" w:rsidRPr="000F719D" w:rsidRDefault="000F719D" w:rsidP="000F719D">
      <w:pPr>
        <w:jc w:val="both"/>
        <w:rPr>
          <w:rFonts w:ascii="Arial" w:hAnsi="Arial" w:cs="Arial"/>
          <w:color w:val="0070C0"/>
          <w:sz w:val="24"/>
          <w:szCs w:val="24"/>
        </w:rPr>
      </w:pPr>
      <w:bookmarkStart w:id="0" w:name="_Hlk77339275"/>
      <w:r w:rsidRPr="000F719D">
        <w:rPr>
          <w:rFonts w:ascii="Arial" w:hAnsi="Arial" w:cs="Arial"/>
          <w:color w:val="0070C0"/>
          <w:sz w:val="24"/>
          <w:szCs w:val="24"/>
          <w:lang w:val="en-US"/>
        </w:rPr>
        <w:t xml:space="preserve">NHS England and Improvement are committed to supporting the wellbeing guardian community to develop into role, network and engage in peer support, and use their collective lived experience of being a senior leader in wellbeing to strategically steer the national wellbeing agenda. These community development offers have been co-designed with the wellbeing guardian network. </w:t>
      </w:r>
    </w:p>
    <w:bookmarkEnd w:id="0"/>
    <w:p w14:paraId="3C3FCE9F" w14:textId="61D7B255" w:rsidR="00F017C2" w:rsidRPr="00F017C2" w:rsidRDefault="00F017C2" w:rsidP="00F017C2">
      <w:pPr>
        <w:jc w:val="both"/>
        <w:rPr>
          <w:rFonts w:ascii="Arial" w:hAnsi="Arial" w:cs="Arial"/>
          <w:color w:val="0070C0"/>
          <w:sz w:val="24"/>
          <w:szCs w:val="24"/>
        </w:rPr>
      </w:pPr>
    </w:p>
    <w:tbl>
      <w:tblPr>
        <w:tblStyle w:val="TableGrid"/>
        <w:tblW w:w="15388" w:type="dxa"/>
        <w:tblLook w:val="04A0" w:firstRow="1" w:lastRow="0" w:firstColumn="1" w:lastColumn="0" w:noHBand="0" w:noVBand="1"/>
      </w:tblPr>
      <w:tblGrid>
        <w:gridCol w:w="1251"/>
        <w:gridCol w:w="1260"/>
        <w:gridCol w:w="1471"/>
        <w:gridCol w:w="3153"/>
        <w:gridCol w:w="4542"/>
        <w:gridCol w:w="3711"/>
      </w:tblGrid>
      <w:tr w:rsidR="000F719D" w14:paraId="7B6079AF" w14:textId="05C89458" w:rsidTr="000F719D">
        <w:tc>
          <w:tcPr>
            <w:tcW w:w="1251" w:type="dxa"/>
          </w:tcPr>
          <w:p w14:paraId="6D87BF2B" w14:textId="71FA13D6" w:rsidR="000F719D" w:rsidRPr="00F017C2" w:rsidRDefault="000F719D">
            <w:pPr>
              <w:rPr>
                <w:rFonts w:ascii="Arial" w:hAnsi="Arial" w:cs="Arial"/>
              </w:rPr>
            </w:pPr>
            <w:r w:rsidRPr="00F017C2">
              <w:rPr>
                <w:rFonts w:ascii="Arial" w:hAnsi="Arial" w:cs="Arial"/>
              </w:rPr>
              <w:t>Date</w:t>
            </w:r>
          </w:p>
        </w:tc>
        <w:tc>
          <w:tcPr>
            <w:tcW w:w="1260" w:type="dxa"/>
          </w:tcPr>
          <w:p w14:paraId="1135D14C" w14:textId="199F1D86" w:rsidR="000F719D" w:rsidRPr="00F017C2" w:rsidRDefault="000F719D">
            <w:pPr>
              <w:rPr>
                <w:rFonts w:ascii="Arial" w:hAnsi="Arial" w:cs="Arial"/>
              </w:rPr>
            </w:pPr>
            <w:r w:rsidRPr="00F017C2">
              <w:rPr>
                <w:rFonts w:ascii="Arial" w:hAnsi="Arial" w:cs="Arial"/>
              </w:rPr>
              <w:t>Time</w:t>
            </w:r>
          </w:p>
        </w:tc>
        <w:tc>
          <w:tcPr>
            <w:tcW w:w="1471" w:type="dxa"/>
          </w:tcPr>
          <w:p w14:paraId="0BBDC431" w14:textId="1DAD0216" w:rsidR="000F719D" w:rsidRPr="00F017C2" w:rsidRDefault="000F719D">
            <w:pPr>
              <w:rPr>
                <w:rFonts w:ascii="Arial" w:hAnsi="Arial" w:cs="Arial"/>
              </w:rPr>
            </w:pPr>
            <w:r w:rsidRPr="00F017C2">
              <w:rPr>
                <w:rFonts w:ascii="Arial" w:hAnsi="Arial" w:cs="Arial"/>
              </w:rPr>
              <w:t>Activity</w:t>
            </w:r>
          </w:p>
        </w:tc>
        <w:tc>
          <w:tcPr>
            <w:tcW w:w="3153" w:type="dxa"/>
          </w:tcPr>
          <w:p w14:paraId="0A1C511D" w14:textId="28D7933D" w:rsidR="000F719D" w:rsidRPr="00F017C2" w:rsidRDefault="000F719D">
            <w:pPr>
              <w:rPr>
                <w:rFonts w:ascii="Arial" w:hAnsi="Arial" w:cs="Arial"/>
              </w:rPr>
            </w:pPr>
            <w:r w:rsidRPr="00F017C2">
              <w:rPr>
                <w:rFonts w:ascii="Arial" w:hAnsi="Arial" w:cs="Arial"/>
              </w:rPr>
              <w:t>Audience</w:t>
            </w:r>
          </w:p>
        </w:tc>
        <w:tc>
          <w:tcPr>
            <w:tcW w:w="4542" w:type="dxa"/>
          </w:tcPr>
          <w:p w14:paraId="395A2AC4" w14:textId="77777777" w:rsidR="000F719D" w:rsidRPr="00F017C2" w:rsidRDefault="000F719D">
            <w:pPr>
              <w:rPr>
                <w:rFonts w:ascii="Arial" w:hAnsi="Arial" w:cs="Arial"/>
              </w:rPr>
            </w:pPr>
          </w:p>
        </w:tc>
        <w:tc>
          <w:tcPr>
            <w:tcW w:w="3711" w:type="dxa"/>
          </w:tcPr>
          <w:p w14:paraId="7AEF947C" w14:textId="52EDB26B" w:rsidR="000F719D" w:rsidRPr="00F017C2" w:rsidRDefault="000F719D">
            <w:pPr>
              <w:rPr>
                <w:rFonts w:ascii="Arial" w:hAnsi="Arial" w:cs="Arial"/>
              </w:rPr>
            </w:pPr>
            <w:r>
              <w:rPr>
                <w:rFonts w:ascii="Arial" w:hAnsi="Arial" w:cs="Arial"/>
              </w:rPr>
              <w:t>Registration Link</w:t>
            </w:r>
          </w:p>
        </w:tc>
      </w:tr>
      <w:tr w:rsidR="000F719D" w14:paraId="297CF5AA" w14:textId="63E9E26A" w:rsidTr="000F719D">
        <w:tc>
          <w:tcPr>
            <w:tcW w:w="1251" w:type="dxa"/>
          </w:tcPr>
          <w:p w14:paraId="63F5DC8E" w14:textId="6B1AD3A7" w:rsidR="000F719D" w:rsidRPr="00F017C2" w:rsidRDefault="000F719D">
            <w:pPr>
              <w:rPr>
                <w:rFonts w:ascii="Arial" w:hAnsi="Arial" w:cs="Arial"/>
                <w:sz w:val="20"/>
                <w:szCs w:val="20"/>
              </w:rPr>
            </w:pPr>
            <w:r w:rsidRPr="00F017C2">
              <w:rPr>
                <w:rFonts w:ascii="Arial" w:hAnsi="Arial" w:cs="Arial"/>
                <w:sz w:val="20"/>
                <w:szCs w:val="20"/>
              </w:rPr>
              <w:t>7</w:t>
            </w:r>
            <w:r w:rsidRPr="00F017C2">
              <w:rPr>
                <w:rFonts w:ascii="Arial" w:hAnsi="Arial" w:cs="Arial"/>
                <w:sz w:val="20"/>
                <w:szCs w:val="20"/>
                <w:vertAlign w:val="superscript"/>
              </w:rPr>
              <w:t>th</w:t>
            </w:r>
            <w:r w:rsidRPr="00F017C2">
              <w:rPr>
                <w:rFonts w:ascii="Arial" w:hAnsi="Arial" w:cs="Arial"/>
                <w:sz w:val="20"/>
                <w:szCs w:val="20"/>
              </w:rPr>
              <w:t xml:space="preserve"> October</w:t>
            </w:r>
          </w:p>
        </w:tc>
        <w:tc>
          <w:tcPr>
            <w:tcW w:w="1260" w:type="dxa"/>
          </w:tcPr>
          <w:p w14:paraId="5FE25614" w14:textId="0784E082" w:rsidR="000F719D" w:rsidRPr="00F017C2" w:rsidRDefault="000F719D">
            <w:pPr>
              <w:rPr>
                <w:rFonts w:ascii="Arial" w:hAnsi="Arial" w:cs="Arial"/>
                <w:sz w:val="20"/>
                <w:szCs w:val="20"/>
              </w:rPr>
            </w:pPr>
            <w:r w:rsidRPr="00F017C2">
              <w:rPr>
                <w:rFonts w:ascii="Arial" w:hAnsi="Arial" w:cs="Arial"/>
                <w:sz w:val="20"/>
                <w:szCs w:val="20"/>
              </w:rPr>
              <w:t>12.</w:t>
            </w:r>
            <w:r>
              <w:rPr>
                <w:rFonts w:ascii="Arial" w:hAnsi="Arial" w:cs="Arial"/>
                <w:sz w:val="20"/>
                <w:szCs w:val="20"/>
              </w:rPr>
              <w:t>30</w:t>
            </w:r>
            <w:r w:rsidRPr="00F017C2">
              <w:rPr>
                <w:rFonts w:ascii="Arial" w:hAnsi="Arial" w:cs="Arial"/>
                <w:sz w:val="20"/>
                <w:szCs w:val="20"/>
              </w:rPr>
              <w:t xml:space="preserve"> – 2pm </w:t>
            </w:r>
          </w:p>
        </w:tc>
        <w:tc>
          <w:tcPr>
            <w:tcW w:w="1471" w:type="dxa"/>
          </w:tcPr>
          <w:p w14:paraId="6A1B1630" w14:textId="36E3E559" w:rsidR="000F719D" w:rsidRPr="00F017C2" w:rsidRDefault="000F719D">
            <w:pPr>
              <w:rPr>
                <w:rFonts w:ascii="Arial" w:hAnsi="Arial" w:cs="Arial"/>
                <w:sz w:val="20"/>
                <w:szCs w:val="20"/>
              </w:rPr>
            </w:pPr>
            <w:r w:rsidRPr="00F017C2">
              <w:rPr>
                <w:rFonts w:ascii="Arial" w:hAnsi="Arial" w:cs="Arial"/>
                <w:sz w:val="20"/>
                <w:szCs w:val="20"/>
              </w:rPr>
              <w:t xml:space="preserve">Community conversation </w:t>
            </w:r>
          </w:p>
        </w:tc>
        <w:tc>
          <w:tcPr>
            <w:tcW w:w="3153" w:type="dxa"/>
          </w:tcPr>
          <w:p w14:paraId="2C2F3124" w14:textId="0AB8B63B" w:rsidR="000F719D" w:rsidRPr="00F017C2" w:rsidRDefault="000F719D">
            <w:pPr>
              <w:rPr>
                <w:rFonts w:ascii="Arial" w:hAnsi="Arial" w:cs="Arial"/>
                <w:sz w:val="20"/>
                <w:szCs w:val="20"/>
              </w:rPr>
            </w:pPr>
            <w:r w:rsidRPr="00F017C2">
              <w:rPr>
                <w:rFonts w:ascii="Arial" w:hAnsi="Arial" w:cs="Arial"/>
                <w:sz w:val="20"/>
                <w:szCs w:val="20"/>
              </w:rPr>
              <w:t xml:space="preserve">Wellbeing Guardians only (up to </w:t>
            </w:r>
            <w:r>
              <w:rPr>
                <w:rFonts w:ascii="Arial" w:hAnsi="Arial" w:cs="Arial"/>
                <w:sz w:val="20"/>
                <w:szCs w:val="20"/>
              </w:rPr>
              <w:t>72</w:t>
            </w:r>
            <w:r w:rsidRPr="00F017C2">
              <w:rPr>
                <w:rFonts w:ascii="Arial" w:hAnsi="Arial" w:cs="Arial"/>
                <w:sz w:val="20"/>
                <w:szCs w:val="20"/>
              </w:rPr>
              <w:t xml:space="preserve"> places available)</w:t>
            </w:r>
            <w:r>
              <w:rPr>
                <w:rFonts w:ascii="Arial" w:hAnsi="Arial" w:cs="Arial"/>
                <w:sz w:val="20"/>
                <w:szCs w:val="20"/>
              </w:rPr>
              <w:t xml:space="preserve">.  </w:t>
            </w:r>
            <w:r w:rsidRPr="00F017C2">
              <w:rPr>
                <w:rFonts w:ascii="Arial" w:hAnsi="Arial" w:cs="Arial"/>
                <w:sz w:val="20"/>
                <w:szCs w:val="20"/>
              </w:rPr>
              <w:t>For those who are unable to attend but would still like to contribute a survey will be provided.</w:t>
            </w:r>
          </w:p>
        </w:tc>
        <w:tc>
          <w:tcPr>
            <w:tcW w:w="4542" w:type="dxa"/>
          </w:tcPr>
          <w:p w14:paraId="411C7A95"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This offer is designed to bring the wellbeing guardian community together nationally in an action learning style environment to share practice, work through challenges, and capture their voice to influence the national wellbeing agenda. It achieves this through bi-monthly action-learning style virtual meetings, and a community ‘journaling’ survey to share, analyse and compare lived experiences as guardians between meetings. </w:t>
            </w:r>
          </w:p>
          <w:p w14:paraId="77548679" w14:textId="703BCC60" w:rsidR="000F719D" w:rsidRPr="00F017C2" w:rsidRDefault="000F719D">
            <w:pPr>
              <w:rPr>
                <w:rFonts w:ascii="Arial" w:hAnsi="Arial" w:cs="Arial"/>
                <w:sz w:val="20"/>
                <w:szCs w:val="20"/>
              </w:rPr>
            </w:pPr>
          </w:p>
        </w:tc>
        <w:tc>
          <w:tcPr>
            <w:tcW w:w="3711" w:type="dxa"/>
          </w:tcPr>
          <w:p w14:paraId="1E9FF2AC" w14:textId="2DACB8B3" w:rsidR="000F719D" w:rsidRPr="00F017C2" w:rsidRDefault="00CB0D5B">
            <w:pPr>
              <w:rPr>
                <w:rFonts w:ascii="Arial" w:hAnsi="Arial" w:cs="Arial"/>
                <w:sz w:val="20"/>
                <w:szCs w:val="20"/>
              </w:rPr>
            </w:pPr>
            <w:hyperlink r:id="rId9" w:history="1">
              <w:r w:rsidR="00640005">
                <w:rPr>
                  <w:rStyle w:val="Hyperlink"/>
                </w:rPr>
                <w:t>Community Conversations 2 (england.nhs.uk)</w:t>
              </w:r>
            </w:hyperlink>
          </w:p>
        </w:tc>
      </w:tr>
      <w:tr w:rsidR="000F719D" w14:paraId="197CB9F7" w14:textId="792D751E" w:rsidTr="000F719D">
        <w:tc>
          <w:tcPr>
            <w:tcW w:w="1251" w:type="dxa"/>
          </w:tcPr>
          <w:p w14:paraId="39E94E74" w14:textId="02D3BD2A" w:rsidR="000F719D" w:rsidRPr="00F017C2" w:rsidRDefault="000F719D">
            <w:pPr>
              <w:rPr>
                <w:rFonts w:ascii="Arial" w:hAnsi="Arial" w:cs="Arial"/>
                <w:sz w:val="20"/>
                <w:szCs w:val="20"/>
              </w:rPr>
            </w:pPr>
            <w:r w:rsidRPr="00F017C2">
              <w:rPr>
                <w:rFonts w:ascii="Arial" w:hAnsi="Arial" w:cs="Arial"/>
                <w:sz w:val="20"/>
                <w:szCs w:val="20"/>
              </w:rPr>
              <w:t>25</w:t>
            </w:r>
            <w:r w:rsidRPr="00F017C2">
              <w:rPr>
                <w:rFonts w:ascii="Arial" w:hAnsi="Arial" w:cs="Arial"/>
                <w:sz w:val="20"/>
                <w:szCs w:val="20"/>
                <w:vertAlign w:val="superscript"/>
              </w:rPr>
              <w:t>th</w:t>
            </w:r>
            <w:r w:rsidRPr="00F017C2">
              <w:rPr>
                <w:rFonts w:ascii="Arial" w:hAnsi="Arial" w:cs="Arial"/>
                <w:sz w:val="20"/>
                <w:szCs w:val="20"/>
              </w:rPr>
              <w:t xml:space="preserve"> November </w:t>
            </w:r>
          </w:p>
        </w:tc>
        <w:tc>
          <w:tcPr>
            <w:tcW w:w="1260" w:type="dxa"/>
          </w:tcPr>
          <w:p w14:paraId="5B6F1C9A" w14:textId="6D1B39D2" w:rsidR="000F719D" w:rsidRPr="00F017C2" w:rsidRDefault="000F719D">
            <w:pPr>
              <w:rPr>
                <w:rFonts w:ascii="Arial" w:hAnsi="Arial" w:cs="Arial"/>
                <w:sz w:val="20"/>
                <w:szCs w:val="20"/>
              </w:rPr>
            </w:pPr>
            <w:r w:rsidRPr="00F017C2">
              <w:rPr>
                <w:rFonts w:ascii="Arial" w:hAnsi="Arial" w:cs="Arial"/>
                <w:sz w:val="20"/>
                <w:szCs w:val="20"/>
              </w:rPr>
              <w:t>12 – 1.30pm</w:t>
            </w:r>
          </w:p>
        </w:tc>
        <w:tc>
          <w:tcPr>
            <w:tcW w:w="1471" w:type="dxa"/>
          </w:tcPr>
          <w:p w14:paraId="70557D58"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The impact of COVID on the guardian role </w:t>
            </w:r>
          </w:p>
          <w:p w14:paraId="46738DDC" w14:textId="34B7200E" w:rsidR="000F719D" w:rsidRPr="00F017C2" w:rsidRDefault="000F719D">
            <w:pPr>
              <w:rPr>
                <w:rFonts w:ascii="Arial" w:hAnsi="Arial" w:cs="Arial"/>
                <w:sz w:val="20"/>
                <w:szCs w:val="20"/>
              </w:rPr>
            </w:pPr>
          </w:p>
        </w:tc>
        <w:tc>
          <w:tcPr>
            <w:tcW w:w="3153" w:type="dxa"/>
          </w:tcPr>
          <w:p w14:paraId="775D0F28" w14:textId="77777777" w:rsidR="000F719D" w:rsidRPr="000F719D" w:rsidRDefault="000F719D" w:rsidP="000F719D">
            <w:pPr>
              <w:rPr>
                <w:rFonts w:ascii="Arial" w:hAnsi="Arial" w:cs="Arial"/>
                <w:sz w:val="20"/>
                <w:szCs w:val="20"/>
              </w:rPr>
            </w:pPr>
            <w:r w:rsidRPr="000F719D">
              <w:rPr>
                <w:rFonts w:ascii="Arial" w:hAnsi="Arial" w:cs="Arial"/>
                <w:sz w:val="20"/>
                <w:szCs w:val="20"/>
                <w:lang w:val="en-US"/>
              </w:rPr>
              <w:t>WBG for interest and interpreting</w:t>
            </w:r>
          </w:p>
          <w:p w14:paraId="481B685E" w14:textId="77777777" w:rsidR="000F719D" w:rsidRPr="000F719D" w:rsidRDefault="000F719D" w:rsidP="000F719D">
            <w:pPr>
              <w:rPr>
                <w:rFonts w:ascii="Arial" w:hAnsi="Arial" w:cs="Arial"/>
                <w:sz w:val="20"/>
                <w:szCs w:val="20"/>
              </w:rPr>
            </w:pPr>
            <w:r w:rsidRPr="000F719D">
              <w:rPr>
                <w:rFonts w:ascii="Arial" w:hAnsi="Arial" w:cs="Arial"/>
                <w:sz w:val="20"/>
                <w:szCs w:val="20"/>
                <w:lang w:val="en-US"/>
              </w:rPr>
              <w:t>HRDs and HWB leads – how to support your Guardians</w:t>
            </w:r>
          </w:p>
          <w:p w14:paraId="5A1602F8" w14:textId="573DC28A" w:rsidR="000F719D" w:rsidRPr="00F017C2" w:rsidRDefault="000F719D">
            <w:pPr>
              <w:rPr>
                <w:rFonts w:ascii="Arial" w:hAnsi="Arial" w:cs="Arial"/>
                <w:sz w:val="20"/>
                <w:szCs w:val="20"/>
              </w:rPr>
            </w:pPr>
          </w:p>
        </w:tc>
        <w:tc>
          <w:tcPr>
            <w:tcW w:w="4542" w:type="dxa"/>
          </w:tcPr>
          <w:p w14:paraId="62D81F46"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COVID-19 has changed the way we think of wellbeing and how we look after our NHS people. This event poses some emerging challenges that wellbeing guardians need to actively consider as part of their role, such as their role during the pandemic, the impact of long-covid and supporting people with long term conditions, as well as exploring as a community the impact that COVID has on the leadership role of the wellbeing guardian. </w:t>
            </w:r>
          </w:p>
          <w:p w14:paraId="246C413B" w14:textId="34D82389" w:rsidR="000F719D" w:rsidRPr="00F017C2" w:rsidRDefault="000F719D">
            <w:pPr>
              <w:rPr>
                <w:rFonts w:ascii="Arial" w:hAnsi="Arial" w:cs="Arial"/>
                <w:sz w:val="20"/>
                <w:szCs w:val="20"/>
              </w:rPr>
            </w:pPr>
          </w:p>
        </w:tc>
        <w:tc>
          <w:tcPr>
            <w:tcW w:w="3711" w:type="dxa"/>
          </w:tcPr>
          <w:p w14:paraId="5FF2E86C" w14:textId="0273790A" w:rsidR="000F719D" w:rsidRPr="00F017C2" w:rsidRDefault="00CB0D5B">
            <w:pPr>
              <w:rPr>
                <w:rFonts w:ascii="Arial" w:hAnsi="Arial" w:cs="Arial"/>
                <w:sz w:val="20"/>
                <w:szCs w:val="20"/>
              </w:rPr>
            </w:pPr>
            <w:hyperlink r:id="rId10" w:history="1">
              <w:r w:rsidR="00640005">
                <w:rPr>
                  <w:rStyle w:val="Hyperlink"/>
                </w:rPr>
                <w:t>The impact of COVID on the guardian role (england.nhs.uk)</w:t>
              </w:r>
            </w:hyperlink>
          </w:p>
        </w:tc>
      </w:tr>
      <w:tr w:rsidR="000F719D" w14:paraId="5DA9F156" w14:textId="04CB6010" w:rsidTr="000F719D">
        <w:tc>
          <w:tcPr>
            <w:tcW w:w="1251" w:type="dxa"/>
          </w:tcPr>
          <w:p w14:paraId="60F6F259" w14:textId="628A6399" w:rsidR="000F719D" w:rsidRPr="00F017C2" w:rsidRDefault="000F719D">
            <w:pPr>
              <w:rPr>
                <w:rFonts w:ascii="Arial" w:hAnsi="Arial" w:cs="Arial"/>
                <w:sz w:val="20"/>
                <w:szCs w:val="20"/>
              </w:rPr>
            </w:pPr>
            <w:r w:rsidRPr="00F017C2">
              <w:rPr>
                <w:rFonts w:ascii="Arial" w:hAnsi="Arial" w:cs="Arial"/>
                <w:sz w:val="20"/>
                <w:szCs w:val="20"/>
              </w:rPr>
              <w:t>8</w:t>
            </w:r>
            <w:r w:rsidRPr="00F017C2">
              <w:rPr>
                <w:rFonts w:ascii="Arial" w:hAnsi="Arial" w:cs="Arial"/>
                <w:sz w:val="20"/>
                <w:szCs w:val="20"/>
                <w:vertAlign w:val="superscript"/>
              </w:rPr>
              <w:t>th</w:t>
            </w:r>
            <w:r w:rsidRPr="00F017C2">
              <w:rPr>
                <w:rFonts w:ascii="Arial" w:hAnsi="Arial" w:cs="Arial"/>
                <w:sz w:val="20"/>
                <w:szCs w:val="20"/>
              </w:rPr>
              <w:t xml:space="preserve"> December</w:t>
            </w:r>
          </w:p>
        </w:tc>
        <w:tc>
          <w:tcPr>
            <w:tcW w:w="1260" w:type="dxa"/>
          </w:tcPr>
          <w:p w14:paraId="03C1D503" w14:textId="4B97B143" w:rsidR="000F719D" w:rsidRPr="00F017C2" w:rsidRDefault="000F719D">
            <w:pPr>
              <w:rPr>
                <w:rFonts w:ascii="Arial" w:hAnsi="Arial" w:cs="Arial"/>
                <w:sz w:val="20"/>
                <w:szCs w:val="20"/>
              </w:rPr>
            </w:pPr>
            <w:r w:rsidRPr="00F017C2">
              <w:rPr>
                <w:rFonts w:ascii="Arial" w:hAnsi="Arial" w:cs="Arial"/>
                <w:sz w:val="20"/>
                <w:szCs w:val="20"/>
              </w:rPr>
              <w:t>1.</w:t>
            </w:r>
            <w:r>
              <w:rPr>
                <w:rFonts w:ascii="Arial" w:hAnsi="Arial" w:cs="Arial"/>
                <w:sz w:val="20"/>
                <w:szCs w:val="20"/>
              </w:rPr>
              <w:t>30</w:t>
            </w:r>
            <w:r w:rsidRPr="00F017C2">
              <w:rPr>
                <w:rFonts w:ascii="Arial" w:hAnsi="Arial" w:cs="Arial"/>
                <w:sz w:val="20"/>
                <w:szCs w:val="20"/>
              </w:rPr>
              <w:t xml:space="preserve"> – 3pm </w:t>
            </w:r>
          </w:p>
        </w:tc>
        <w:tc>
          <w:tcPr>
            <w:tcW w:w="1471" w:type="dxa"/>
          </w:tcPr>
          <w:p w14:paraId="7CBC3451" w14:textId="50A92373" w:rsidR="000F719D" w:rsidRPr="00F017C2" w:rsidRDefault="000F719D">
            <w:pPr>
              <w:rPr>
                <w:rFonts w:ascii="Arial" w:hAnsi="Arial" w:cs="Arial"/>
                <w:sz w:val="20"/>
                <w:szCs w:val="20"/>
              </w:rPr>
            </w:pPr>
            <w:r w:rsidRPr="00F017C2">
              <w:rPr>
                <w:rFonts w:ascii="Arial" w:hAnsi="Arial" w:cs="Arial"/>
                <w:sz w:val="20"/>
                <w:szCs w:val="20"/>
              </w:rPr>
              <w:t>Community conversation</w:t>
            </w:r>
          </w:p>
        </w:tc>
        <w:tc>
          <w:tcPr>
            <w:tcW w:w="3153" w:type="dxa"/>
          </w:tcPr>
          <w:p w14:paraId="5B300E85" w14:textId="5726F77F" w:rsidR="000F719D" w:rsidRPr="00F017C2" w:rsidRDefault="000F719D">
            <w:pPr>
              <w:rPr>
                <w:rFonts w:ascii="Arial" w:hAnsi="Arial" w:cs="Arial"/>
                <w:sz w:val="20"/>
                <w:szCs w:val="20"/>
              </w:rPr>
            </w:pPr>
            <w:r w:rsidRPr="00F017C2">
              <w:rPr>
                <w:rFonts w:ascii="Arial" w:hAnsi="Arial" w:cs="Arial"/>
                <w:sz w:val="20"/>
                <w:szCs w:val="20"/>
              </w:rPr>
              <w:t>W</w:t>
            </w:r>
            <w:r>
              <w:rPr>
                <w:rFonts w:ascii="Arial" w:hAnsi="Arial" w:cs="Arial"/>
                <w:sz w:val="20"/>
                <w:szCs w:val="20"/>
              </w:rPr>
              <w:t>ellbeing guardians</w:t>
            </w:r>
            <w:r w:rsidRPr="00F017C2">
              <w:rPr>
                <w:rFonts w:ascii="Arial" w:hAnsi="Arial" w:cs="Arial"/>
                <w:sz w:val="20"/>
                <w:szCs w:val="20"/>
              </w:rPr>
              <w:t xml:space="preserve"> (up to </w:t>
            </w:r>
            <w:r>
              <w:rPr>
                <w:rFonts w:ascii="Arial" w:hAnsi="Arial" w:cs="Arial"/>
                <w:sz w:val="20"/>
                <w:szCs w:val="20"/>
              </w:rPr>
              <w:t xml:space="preserve">72 </w:t>
            </w:r>
            <w:r w:rsidRPr="00F017C2">
              <w:rPr>
                <w:rFonts w:ascii="Arial" w:hAnsi="Arial" w:cs="Arial"/>
                <w:sz w:val="20"/>
                <w:szCs w:val="20"/>
              </w:rPr>
              <w:t>places available)</w:t>
            </w:r>
            <w:r>
              <w:rPr>
                <w:rFonts w:ascii="Arial" w:hAnsi="Arial" w:cs="Arial"/>
                <w:sz w:val="20"/>
                <w:szCs w:val="20"/>
              </w:rPr>
              <w:t xml:space="preserve">.  </w:t>
            </w:r>
            <w:r w:rsidRPr="00F017C2">
              <w:rPr>
                <w:rFonts w:ascii="Arial" w:hAnsi="Arial" w:cs="Arial"/>
                <w:sz w:val="20"/>
                <w:szCs w:val="20"/>
              </w:rPr>
              <w:t>For those who are unable to attend but would still like to contribute a survey will be provided.</w:t>
            </w:r>
          </w:p>
        </w:tc>
        <w:tc>
          <w:tcPr>
            <w:tcW w:w="4542" w:type="dxa"/>
          </w:tcPr>
          <w:p w14:paraId="2FAF3F0A"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This offer is designed to bring the wellbeing guardian community together nationally in an action learning style environment to share practice, work through challenges, and capture their voice to influence the national wellbeing agenda. It achieves this through bi-monthly action-learning style virtual meetings, and a community ‘journaling’ survey to share, analyse </w:t>
            </w:r>
            <w:r w:rsidRPr="000F719D">
              <w:rPr>
                <w:rFonts w:ascii="Arial" w:hAnsi="Arial" w:cs="Arial"/>
                <w:sz w:val="20"/>
                <w:szCs w:val="20"/>
              </w:rPr>
              <w:lastRenderedPageBreak/>
              <w:t xml:space="preserve">and compare lived experiences as guardians between meetings. </w:t>
            </w:r>
          </w:p>
          <w:p w14:paraId="2A9FFA1E" w14:textId="2B27C4A2" w:rsidR="000F719D" w:rsidRPr="00F017C2" w:rsidRDefault="000F719D">
            <w:pPr>
              <w:rPr>
                <w:rFonts w:ascii="Arial" w:hAnsi="Arial" w:cs="Arial"/>
                <w:sz w:val="20"/>
                <w:szCs w:val="20"/>
              </w:rPr>
            </w:pPr>
          </w:p>
        </w:tc>
        <w:tc>
          <w:tcPr>
            <w:tcW w:w="3711" w:type="dxa"/>
          </w:tcPr>
          <w:p w14:paraId="0930FDB6" w14:textId="1B0A43AF" w:rsidR="000F719D" w:rsidRPr="00F017C2" w:rsidRDefault="00CB0D5B">
            <w:pPr>
              <w:rPr>
                <w:rFonts w:ascii="Arial" w:hAnsi="Arial" w:cs="Arial"/>
                <w:sz w:val="20"/>
                <w:szCs w:val="20"/>
              </w:rPr>
            </w:pPr>
            <w:hyperlink r:id="rId11" w:history="1">
              <w:r w:rsidR="00640005">
                <w:rPr>
                  <w:rStyle w:val="Hyperlink"/>
                </w:rPr>
                <w:t>Community Conversations 3 (england.nhs.uk)</w:t>
              </w:r>
            </w:hyperlink>
          </w:p>
        </w:tc>
      </w:tr>
      <w:tr w:rsidR="00CB0D5B" w14:paraId="1EBBA66B" w14:textId="77777777" w:rsidTr="000F719D">
        <w:tc>
          <w:tcPr>
            <w:tcW w:w="1251" w:type="dxa"/>
          </w:tcPr>
          <w:p w14:paraId="14463378" w14:textId="77777777" w:rsidR="00CB0D5B" w:rsidRDefault="00CB0D5B">
            <w:pPr>
              <w:rPr>
                <w:rFonts w:ascii="Arial" w:hAnsi="Arial" w:cs="Arial"/>
                <w:sz w:val="20"/>
                <w:szCs w:val="20"/>
              </w:rPr>
            </w:pPr>
            <w:r>
              <w:rPr>
                <w:rFonts w:ascii="Arial" w:hAnsi="Arial" w:cs="Arial"/>
                <w:sz w:val="20"/>
                <w:szCs w:val="20"/>
              </w:rPr>
              <w:t>12</w:t>
            </w:r>
            <w:r w:rsidRPr="00CB0D5B">
              <w:rPr>
                <w:rFonts w:ascii="Arial" w:hAnsi="Arial" w:cs="Arial"/>
                <w:sz w:val="20"/>
                <w:szCs w:val="20"/>
                <w:vertAlign w:val="superscript"/>
              </w:rPr>
              <w:t>th</w:t>
            </w:r>
          </w:p>
          <w:p w14:paraId="59C9C529" w14:textId="77777777" w:rsidR="00CB0D5B" w:rsidRDefault="00CB0D5B">
            <w:pPr>
              <w:rPr>
                <w:rFonts w:ascii="Arial" w:hAnsi="Arial" w:cs="Arial"/>
                <w:sz w:val="20"/>
                <w:szCs w:val="20"/>
              </w:rPr>
            </w:pPr>
            <w:r>
              <w:rPr>
                <w:rFonts w:ascii="Arial" w:hAnsi="Arial" w:cs="Arial"/>
                <w:sz w:val="20"/>
                <w:szCs w:val="20"/>
              </w:rPr>
              <w:t>January</w:t>
            </w:r>
          </w:p>
          <w:p w14:paraId="6564D8B0" w14:textId="746B7739" w:rsidR="00CB0D5B" w:rsidRPr="00F017C2" w:rsidRDefault="00CB0D5B">
            <w:pPr>
              <w:rPr>
                <w:rFonts w:ascii="Arial" w:hAnsi="Arial" w:cs="Arial"/>
                <w:sz w:val="20"/>
                <w:szCs w:val="20"/>
              </w:rPr>
            </w:pPr>
          </w:p>
        </w:tc>
        <w:tc>
          <w:tcPr>
            <w:tcW w:w="1260" w:type="dxa"/>
          </w:tcPr>
          <w:p w14:paraId="68D9B512" w14:textId="7AF8F1C2" w:rsidR="00CB0D5B" w:rsidRPr="00F017C2" w:rsidRDefault="00CB0D5B">
            <w:pPr>
              <w:rPr>
                <w:rFonts w:ascii="Arial" w:hAnsi="Arial" w:cs="Arial"/>
                <w:sz w:val="20"/>
                <w:szCs w:val="20"/>
              </w:rPr>
            </w:pPr>
            <w:r>
              <w:rPr>
                <w:rFonts w:ascii="Arial" w:hAnsi="Arial" w:cs="Arial"/>
                <w:sz w:val="20"/>
                <w:szCs w:val="20"/>
              </w:rPr>
              <w:t>10am – 12pm</w:t>
            </w:r>
          </w:p>
        </w:tc>
        <w:tc>
          <w:tcPr>
            <w:tcW w:w="1471" w:type="dxa"/>
          </w:tcPr>
          <w:p w14:paraId="03046B47" w14:textId="79053324" w:rsidR="00CB0D5B" w:rsidRPr="00AE4035" w:rsidRDefault="00CB0D5B" w:rsidP="008810C7">
            <w:pPr>
              <w:rPr>
                <w:rFonts w:ascii="Arial" w:hAnsi="Arial" w:cs="Arial"/>
                <w:sz w:val="20"/>
                <w:szCs w:val="20"/>
              </w:rPr>
            </w:pPr>
            <w:r w:rsidRPr="00CB0D5B">
              <w:rPr>
                <w:rFonts w:ascii="Arial" w:hAnsi="Arial" w:cs="Arial"/>
                <w:sz w:val="20"/>
                <w:szCs w:val="20"/>
              </w:rPr>
              <w:t>NHS Health and Wellbeing Framework</w:t>
            </w:r>
          </w:p>
        </w:tc>
        <w:tc>
          <w:tcPr>
            <w:tcW w:w="3153" w:type="dxa"/>
          </w:tcPr>
          <w:p w14:paraId="5B94404F" w14:textId="21A0ACB1" w:rsidR="00CB0D5B" w:rsidRPr="000F719D" w:rsidRDefault="00CB0D5B" w:rsidP="008810C7">
            <w:pPr>
              <w:rPr>
                <w:rFonts w:ascii="Arial" w:hAnsi="Arial" w:cs="Arial"/>
                <w:sz w:val="20"/>
                <w:szCs w:val="20"/>
                <w:lang w:val="en-US"/>
              </w:rPr>
            </w:pPr>
            <w:r>
              <w:rPr>
                <w:rFonts w:ascii="Arial" w:hAnsi="Arial" w:cs="Arial"/>
                <w:sz w:val="20"/>
                <w:szCs w:val="20"/>
                <w:lang w:val="en-US"/>
              </w:rPr>
              <w:t xml:space="preserve">Wellbeing Guardians are more than welcome to attend this event which will also be open more widely. </w:t>
            </w:r>
          </w:p>
        </w:tc>
        <w:tc>
          <w:tcPr>
            <w:tcW w:w="4542" w:type="dxa"/>
          </w:tcPr>
          <w:p w14:paraId="6A028CA1" w14:textId="77777777" w:rsidR="00CB0D5B" w:rsidRDefault="00CB0D5B" w:rsidP="00AE4035">
            <w:pPr>
              <w:rPr>
                <w:rFonts w:ascii="Arial" w:hAnsi="Arial" w:cs="Arial"/>
                <w:sz w:val="20"/>
                <w:szCs w:val="20"/>
              </w:rPr>
            </w:pPr>
            <w:r w:rsidRPr="00CB0D5B">
              <w:rPr>
                <w:rFonts w:ascii="Arial" w:hAnsi="Arial" w:cs="Arial"/>
                <w:sz w:val="20"/>
                <w:szCs w:val="20"/>
              </w:rPr>
              <w:t>The new Health and Wellbeing Framework model and toolkit is designed to help NHS organisations to create a wellbeing culture. This is an essential toolkit for organisations wanting to make cultural changes to the health and wellbeing of their NHS People. This launch event will share the newly evolved framework, its tools and resources and the 7 elements of creating a wellbeing culture.</w:t>
            </w:r>
          </w:p>
          <w:p w14:paraId="6173F569" w14:textId="46CAB806" w:rsidR="00CB0D5B" w:rsidRPr="00AE4035" w:rsidRDefault="00CB0D5B" w:rsidP="00AE4035">
            <w:pPr>
              <w:rPr>
                <w:rFonts w:ascii="Arial" w:hAnsi="Arial" w:cs="Arial"/>
                <w:sz w:val="20"/>
                <w:szCs w:val="20"/>
              </w:rPr>
            </w:pPr>
          </w:p>
        </w:tc>
        <w:tc>
          <w:tcPr>
            <w:tcW w:w="3711" w:type="dxa"/>
          </w:tcPr>
          <w:p w14:paraId="389A9E67" w14:textId="002AF61A" w:rsidR="00CB0D5B" w:rsidRDefault="00CB0D5B">
            <w:hyperlink r:id="rId12" w:history="1">
              <w:r w:rsidRPr="00CB0D5B">
                <w:rPr>
                  <w:rStyle w:val="Hyperlink"/>
                </w:rPr>
                <w:t>NHS Health and Wellbeing Framework</w:t>
              </w:r>
            </w:hyperlink>
          </w:p>
        </w:tc>
      </w:tr>
      <w:tr w:rsidR="000F719D" w14:paraId="2A3C23D2" w14:textId="3781F5ED" w:rsidTr="000F719D">
        <w:tc>
          <w:tcPr>
            <w:tcW w:w="1251" w:type="dxa"/>
          </w:tcPr>
          <w:p w14:paraId="5B9C5518" w14:textId="2C9D8EB0" w:rsidR="000F719D" w:rsidRPr="00F017C2" w:rsidRDefault="000F719D">
            <w:pPr>
              <w:rPr>
                <w:rFonts w:ascii="Arial" w:hAnsi="Arial" w:cs="Arial"/>
                <w:sz w:val="20"/>
                <w:szCs w:val="20"/>
              </w:rPr>
            </w:pPr>
            <w:r w:rsidRPr="00F017C2">
              <w:rPr>
                <w:rFonts w:ascii="Arial" w:hAnsi="Arial" w:cs="Arial"/>
                <w:sz w:val="20"/>
                <w:szCs w:val="20"/>
              </w:rPr>
              <w:t>25</w:t>
            </w:r>
            <w:r w:rsidRPr="00F017C2">
              <w:rPr>
                <w:rFonts w:ascii="Arial" w:hAnsi="Arial" w:cs="Arial"/>
                <w:sz w:val="20"/>
                <w:szCs w:val="20"/>
                <w:vertAlign w:val="superscript"/>
              </w:rPr>
              <w:t>th</w:t>
            </w:r>
            <w:r w:rsidRPr="00F017C2">
              <w:rPr>
                <w:rFonts w:ascii="Arial" w:hAnsi="Arial" w:cs="Arial"/>
                <w:sz w:val="20"/>
                <w:szCs w:val="20"/>
              </w:rPr>
              <w:t xml:space="preserve"> January </w:t>
            </w:r>
          </w:p>
        </w:tc>
        <w:tc>
          <w:tcPr>
            <w:tcW w:w="1260" w:type="dxa"/>
          </w:tcPr>
          <w:p w14:paraId="5BBF2EAE" w14:textId="21DD62A1" w:rsidR="000F719D" w:rsidRPr="00F017C2" w:rsidRDefault="000F719D">
            <w:pPr>
              <w:rPr>
                <w:rFonts w:ascii="Arial" w:hAnsi="Arial" w:cs="Arial"/>
                <w:sz w:val="20"/>
                <w:szCs w:val="20"/>
              </w:rPr>
            </w:pPr>
            <w:r w:rsidRPr="00F017C2">
              <w:rPr>
                <w:rFonts w:ascii="Arial" w:hAnsi="Arial" w:cs="Arial"/>
                <w:sz w:val="20"/>
                <w:szCs w:val="20"/>
              </w:rPr>
              <w:t xml:space="preserve">2 – 3.30pm </w:t>
            </w:r>
          </w:p>
        </w:tc>
        <w:tc>
          <w:tcPr>
            <w:tcW w:w="1471" w:type="dxa"/>
          </w:tcPr>
          <w:p w14:paraId="08E73803" w14:textId="77777777" w:rsidR="008810C7" w:rsidRPr="00AE4035" w:rsidRDefault="008810C7" w:rsidP="008810C7">
            <w:pPr>
              <w:rPr>
                <w:rFonts w:ascii="Arial" w:hAnsi="Arial" w:cs="Arial"/>
                <w:sz w:val="20"/>
                <w:szCs w:val="20"/>
              </w:rPr>
            </w:pPr>
            <w:r w:rsidRPr="00AE4035">
              <w:rPr>
                <w:rFonts w:ascii="Arial" w:hAnsi="Arial" w:cs="Arial"/>
                <w:sz w:val="20"/>
                <w:szCs w:val="20"/>
              </w:rPr>
              <w:t>Reducing &amp; Preventing Violence on NHS Workforce</w:t>
            </w:r>
          </w:p>
          <w:p w14:paraId="1779664B" w14:textId="16704107" w:rsidR="000F719D" w:rsidRPr="00F017C2" w:rsidRDefault="000F719D">
            <w:pPr>
              <w:rPr>
                <w:rFonts w:ascii="Arial" w:hAnsi="Arial" w:cs="Arial"/>
                <w:sz w:val="20"/>
                <w:szCs w:val="20"/>
              </w:rPr>
            </w:pPr>
          </w:p>
        </w:tc>
        <w:tc>
          <w:tcPr>
            <w:tcW w:w="3153" w:type="dxa"/>
          </w:tcPr>
          <w:p w14:paraId="618A6BB3" w14:textId="77777777" w:rsidR="008810C7" w:rsidRPr="000F719D" w:rsidRDefault="008810C7" w:rsidP="008810C7">
            <w:pPr>
              <w:rPr>
                <w:rFonts w:ascii="Arial" w:hAnsi="Arial" w:cs="Arial"/>
                <w:sz w:val="20"/>
                <w:szCs w:val="20"/>
              </w:rPr>
            </w:pPr>
            <w:r w:rsidRPr="000F719D">
              <w:rPr>
                <w:rFonts w:ascii="Arial" w:hAnsi="Arial" w:cs="Arial"/>
                <w:sz w:val="20"/>
                <w:szCs w:val="20"/>
                <w:lang w:val="en-US"/>
              </w:rPr>
              <w:t>WBG for interest and interpreting</w:t>
            </w:r>
          </w:p>
          <w:p w14:paraId="16528CB2" w14:textId="77777777" w:rsidR="008810C7" w:rsidRPr="000F719D" w:rsidRDefault="008810C7" w:rsidP="008810C7">
            <w:pPr>
              <w:rPr>
                <w:rFonts w:ascii="Arial" w:hAnsi="Arial" w:cs="Arial"/>
                <w:sz w:val="20"/>
                <w:szCs w:val="20"/>
              </w:rPr>
            </w:pPr>
            <w:r w:rsidRPr="000F719D">
              <w:rPr>
                <w:rFonts w:ascii="Arial" w:hAnsi="Arial" w:cs="Arial"/>
                <w:sz w:val="20"/>
                <w:szCs w:val="20"/>
                <w:lang w:val="en-US"/>
              </w:rPr>
              <w:t>HRDs and HWB leads – how to support your Guardians</w:t>
            </w:r>
          </w:p>
          <w:p w14:paraId="2756064B" w14:textId="698771A4" w:rsidR="000F719D" w:rsidRPr="00F017C2" w:rsidRDefault="000F719D">
            <w:pPr>
              <w:rPr>
                <w:rFonts w:ascii="Arial" w:hAnsi="Arial" w:cs="Arial"/>
                <w:sz w:val="20"/>
                <w:szCs w:val="20"/>
              </w:rPr>
            </w:pPr>
          </w:p>
        </w:tc>
        <w:tc>
          <w:tcPr>
            <w:tcW w:w="4542" w:type="dxa"/>
          </w:tcPr>
          <w:p w14:paraId="607345B8" w14:textId="687A0C03" w:rsidR="00AE4035" w:rsidRPr="00AE4035" w:rsidRDefault="00AE4035" w:rsidP="00AE4035">
            <w:pPr>
              <w:rPr>
                <w:rFonts w:ascii="Arial" w:hAnsi="Arial" w:cs="Arial"/>
                <w:sz w:val="20"/>
                <w:szCs w:val="20"/>
              </w:rPr>
            </w:pPr>
            <w:r w:rsidRPr="00AE4035">
              <w:rPr>
                <w:rFonts w:ascii="Arial" w:hAnsi="Arial" w:cs="Arial"/>
                <w:sz w:val="20"/>
                <w:szCs w:val="20"/>
              </w:rPr>
              <w:t>Creating a culture in which our NHS colleagues feel supported, safe and secure at work is paramount. This masterclass explores the national context, causation, challenges</w:t>
            </w:r>
            <w:r>
              <w:rPr>
                <w:rFonts w:ascii="Arial" w:hAnsi="Arial" w:cs="Arial"/>
                <w:sz w:val="20"/>
                <w:szCs w:val="20"/>
              </w:rPr>
              <w:t xml:space="preserve"> </w:t>
            </w:r>
            <w:r w:rsidRPr="00AE4035">
              <w:rPr>
                <w:rFonts w:ascii="Arial" w:hAnsi="Arial" w:cs="Arial"/>
                <w:sz w:val="20"/>
                <w:szCs w:val="20"/>
              </w:rPr>
              <w:t xml:space="preserve">and impact on our workforce and outlines the public health approach to violence prevention and reduction in the NHS and how your role as a wellbeing guardian can support this work. </w:t>
            </w:r>
          </w:p>
          <w:p w14:paraId="1BDBD009" w14:textId="666F1641" w:rsidR="000F719D" w:rsidRPr="00F017C2" w:rsidRDefault="000F719D">
            <w:pPr>
              <w:rPr>
                <w:rFonts w:ascii="Arial" w:hAnsi="Arial" w:cs="Arial"/>
                <w:sz w:val="20"/>
                <w:szCs w:val="20"/>
              </w:rPr>
            </w:pPr>
          </w:p>
        </w:tc>
        <w:tc>
          <w:tcPr>
            <w:tcW w:w="3711" w:type="dxa"/>
          </w:tcPr>
          <w:p w14:paraId="0FC45187" w14:textId="7E13617F" w:rsidR="000F719D" w:rsidRPr="00F017C2" w:rsidRDefault="00CB0D5B">
            <w:pPr>
              <w:rPr>
                <w:rFonts w:ascii="Arial" w:hAnsi="Arial" w:cs="Arial"/>
                <w:sz w:val="20"/>
                <w:szCs w:val="20"/>
              </w:rPr>
            </w:pPr>
            <w:hyperlink r:id="rId13" w:history="1">
              <w:r w:rsidR="00AE4035" w:rsidRPr="00AE4035">
                <w:rPr>
                  <w:rStyle w:val="Hyperlink"/>
                </w:rPr>
                <w:t>Reducing &amp; Preventing Violence on NHS Workforce</w:t>
              </w:r>
            </w:hyperlink>
            <w:r w:rsidR="00AE4035">
              <w:rPr>
                <w:rStyle w:val="Hyperlink"/>
              </w:rPr>
              <w:t xml:space="preserve"> </w:t>
            </w:r>
          </w:p>
        </w:tc>
      </w:tr>
      <w:tr w:rsidR="000F719D" w14:paraId="1A1F07D4" w14:textId="79786601" w:rsidTr="000F719D">
        <w:tc>
          <w:tcPr>
            <w:tcW w:w="1251" w:type="dxa"/>
          </w:tcPr>
          <w:p w14:paraId="6036E815" w14:textId="0916443F" w:rsidR="000F719D" w:rsidRPr="00F017C2" w:rsidRDefault="000F719D">
            <w:pPr>
              <w:rPr>
                <w:rFonts w:ascii="Arial" w:hAnsi="Arial" w:cs="Arial"/>
                <w:sz w:val="20"/>
                <w:szCs w:val="20"/>
              </w:rPr>
            </w:pPr>
            <w:r w:rsidRPr="00F017C2">
              <w:rPr>
                <w:rFonts w:ascii="Arial" w:hAnsi="Arial" w:cs="Arial"/>
                <w:sz w:val="20"/>
                <w:szCs w:val="20"/>
              </w:rPr>
              <w:t>9</w:t>
            </w:r>
            <w:r w:rsidRPr="00F017C2">
              <w:rPr>
                <w:rFonts w:ascii="Arial" w:hAnsi="Arial" w:cs="Arial"/>
                <w:sz w:val="20"/>
                <w:szCs w:val="20"/>
                <w:vertAlign w:val="superscript"/>
              </w:rPr>
              <w:t>th</w:t>
            </w:r>
            <w:r w:rsidRPr="00F017C2">
              <w:rPr>
                <w:rFonts w:ascii="Arial" w:hAnsi="Arial" w:cs="Arial"/>
                <w:sz w:val="20"/>
                <w:szCs w:val="20"/>
              </w:rPr>
              <w:t xml:space="preserve"> February </w:t>
            </w:r>
          </w:p>
        </w:tc>
        <w:tc>
          <w:tcPr>
            <w:tcW w:w="1260" w:type="dxa"/>
          </w:tcPr>
          <w:p w14:paraId="43FE2705" w14:textId="556498A2" w:rsidR="000F719D" w:rsidRPr="00F017C2" w:rsidRDefault="000F719D">
            <w:pPr>
              <w:rPr>
                <w:rFonts w:ascii="Arial" w:hAnsi="Arial" w:cs="Arial"/>
                <w:sz w:val="20"/>
                <w:szCs w:val="20"/>
              </w:rPr>
            </w:pPr>
            <w:r w:rsidRPr="00F017C2">
              <w:rPr>
                <w:rFonts w:ascii="Arial" w:hAnsi="Arial" w:cs="Arial"/>
                <w:sz w:val="20"/>
                <w:szCs w:val="20"/>
              </w:rPr>
              <w:t>1.</w:t>
            </w:r>
            <w:r>
              <w:rPr>
                <w:rFonts w:ascii="Arial" w:hAnsi="Arial" w:cs="Arial"/>
                <w:sz w:val="20"/>
                <w:szCs w:val="20"/>
              </w:rPr>
              <w:t>30</w:t>
            </w:r>
            <w:r w:rsidRPr="00F017C2">
              <w:rPr>
                <w:rFonts w:ascii="Arial" w:hAnsi="Arial" w:cs="Arial"/>
                <w:sz w:val="20"/>
                <w:szCs w:val="20"/>
              </w:rPr>
              <w:t xml:space="preserve"> – 3pm </w:t>
            </w:r>
          </w:p>
        </w:tc>
        <w:tc>
          <w:tcPr>
            <w:tcW w:w="1471" w:type="dxa"/>
          </w:tcPr>
          <w:p w14:paraId="357261B2" w14:textId="506EC165" w:rsidR="000F719D" w:rsidRPr="00F017C2" w:rsidRDefault="000F719D">
            <w:pPr>
              <w:rPr>
                <w:rFonts w:ascii="Arial" w:hAnsi="Arial" w:cs="Arial"/>
                <w:sz w:val="20"/>
                <w:szCs w:val="20"/>
              </w:rPr>
            </w:pPr>
            <w:r w:rsidRPr="00F017C2">
              <w:rPr>
                <w:rFonts w:ascii="Arial" w:hAnsi="Arial" w:cs="Arial"/>
                <w:sz w:val="20"/>
                <w:szCs w:val="20"/>
              </w:rPr>
              <w:t>Community conversation</w:t>
            </w:r>
          </w:p>
        </w:tc>
        <w:tc>
          <w:tcPr>
            <w:tcW w:w="3153" w:type="dxa"/>
          </w:tcPr>
          <w:p w14:paraId="001AAB01" w14:textId="5E8C4B73" w:rsidR="000F719D" w:rsidRPr="00F017C2" w:rsidRDefault="000F719D">
            <w:pPr>
              <w:rPr>
                <w:rFonts w:ascii="Arial" w:hAnsi="Arial" w:cs="Arial"/>
                <w:sz w:val="20"/>
                <w:szCs w:val="20"/>
              </w:rPr>
            </w:pPr>
            <w:r w:rsidRPr="00F017C2">
              <w:rPr>
                <w:rFonts w:ascii="Arial" w:hAnsi="Arial" w:cs="Arial"/>
                <w:sz w:val="20"/>
                <w:szCs w:val="20"/>
              </w:rPr>
              <w:t>W</w:t>
            </w:r>
            <w:r>
              <w:rPr>
                <w:rFonts w:ascii="Arial" w:hAnsi="Arial" w:cs="Arial"/>
                <w:sz w:val="20"/>
                <w:szCs w:val="20"/>
              </w:rPr>
              <w:t>ellbeing Guardians</w:t>
            </w:r>
            <w:r w:rsidRPr="00F017C2">
              <w:rPr>
                <w:rFonts w:ascii="Arial" w:hAnsi="Arial" w:cs="Arial"/>
                <w:sz w:val="20"/>
                <w:szCs w:val="20"/>
              </w:rPr>
              <w:t xml:space="preserve"> (up to </w:t>
            </w:r>
            <w:r>
              <w:rPr>
                <w:rFonts w:ascii="Arial" w:hAnsi="Arial" w:cs="Arial"/>
                <w:sz w:val="20"/>
                <w:szCs w:val="20"/>
              </w:rPr>
              <w:t>72</w:t>
            </w:r>
            <w:r w:rsidRPr="00F017C2">
              <w:rPr>
                <w:rFonts w:ascii="Arial" w:hAnsi="Arial" w:cs="Arial"/>
                <w:sz w:val="20"/>
                <w:szCs w:val="20"/>
              </w:rPr>
              <w:t xml:space="preserve"> places available)</w:t>
            </w:r>
            <w:r>
              <w:rPr>
                <w:rFonts w:ascii="Arial" w:hAnsi="Arial" w:cs="Arial"/>
                <w:sz w:val="20"/>
                <w:szCs w:val="20"/>
              </w:rPr>
              <w:t xml:space="preserve">.  </w:t>
            </w:r>
            <w:r w:rsidRPr="00F017C2">
              <w:rPr>
                <w:rFonts w:ascii="Arial" w:hAnsi="Arial" w:cs="Arial"/>
                <w:sz w:val="20"/>
                <w:szCs w:val="20"/>
              </w:rPr>
              <w:t>For those who are unable to attend but would still like to contribute a survey will be provided.</w:t>
            </w:r>
          </w:p>
        </w:tc>
        <w:tc>
          <w:tcPr>
            <w:tcW w:w="4542" w:type="dxa"/>
          </w:tcPr>
          <w:p w14:paraId="3A6DF42B"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This offer is designed to bring the wellbeing guardian community together nationally in an action learning style environment to share practice, work through challenges, and capture their voice to influence the national wellbeing agenda. It achieves this through bi-monthly action-learning style virtual meetings, and a community ‘journaling’ survey to share, analyse and compare lived experiences as guardians between meetings. </w:t>
            </w:r>
          </w:p>
          <w:p w14:paraId="5D743A15" w14:textId="53428826" w:rsidR="000F719D" w:rsidRPr="00F017C2" w:rsidRDefault="000F719D">
            <w:pPr>
              <w:rPr>
                <w:rFonts w:ascii="Arial" w:hAnsi="Arial" w:cs="Arial"/>
                <w:sz w:val="20"/>
                <w:szCs w:val="20"/>
              </w:rPr>
            </w:pPr>
          </w:p>
        </w:tc>
        <w:tc>
          <w:tcPr>
            <w:tcW w:w="3711" w:type="dxa"/>
          </w:tcPr>
          <w:p w14:paraId="1AEE3CE3" w14:textId="4E5ABE28" w:rsidR="000F719D" w:rsidRPr="00F017C2" w:rsidRDefault="00CB0D5B">
            <w:pPr>
              <w:rPr>
                <w:rFonts w:ascii="Arial" w:hAnsi="Arial" w:cs="Arial"/>
                <w:sz w:val="20"/>
                <w:szCs w:val="20"/>
              </w:rPr>
            </w:pPr>
            <w:hyperlink r:id="rId14" w:history="1">
              <w:r w:rsidR="00640005">
                <w:rPr>
                  <w:rStyle w:val="Hyperlink"/>
                </w:rPr>
                <w:t>Community Conversations 4 (england.nhs.uk)</w:t>
              </w:r>
            </w:hyperlink>
          </w:p>
        </w:tc>
      </w:tr>
      <w:tr w:rsidR="000F719D" w14:paraId="137608D1" w14:textId="40A28225" w:rsidTr="000F719D">
        <w:tc>
          <w:tcPr>
            <w:tcW w:w="1251" w:type="dxa"/>
          </w:tcPr>
          <w:p w14:paraId="5FF89835" w14:textId="0D87AF5E" w:rsidR="000F719D" w:rsidRPr="00F017C2" w:rsidRDefault="000F719D">
            <w:pPr>
              <w:rPr>
                <w:rFonts w:ascii="Arial" w:hAnsi="Arial" w:cs="Arial"/>
                <w:sz w:val="20"/>
                <w:szCs w:val="20"/>
              </w:rPr>
            </w:pPr>
            <w:r w:rsidRPr="00F017C2">
              <w:rPr>
                <w:rFonts w:ascii="Arial" w:hAnsi="Arial" w:cs="Arial"/>
                <w:sz w:val="20"/>
                <w:szCs w:val="20"/>
              </w:rPr>
              <w:t>30</w:t>
            </w:r>
            <w:r w:rsidRPr="00F017C2">
              <w:rPr>
                <w:rFonts w:ascii="Arial" w:hAnsi="Arial" w:cs="Arial"/>
                <w:sz w:val="20"/>
                <w:szCs w:val="20"/>
                <w:vertAlign w:val="superscript"/>
              </w:rPr>
              <w:t>th</w:t>
            </w:r>
            <w:r w:rsidRPr="00F017C2">
              <w:rPr>
                <w:rFonts w:ascii="Arial" w:hAnsi="Arial" w:cs="Arial"/>
                <w:sz w:val="20"/>
                <w:szCs w:val="20"/>
              </w:rPr>
              <w:t xml:space="preserve"> March 2022  </w:t>
            </w:r>
          </w:p>
        </w:tc>
        <w:tc>
          <w:tcPr>
            <w:tcW w:w="1260" w:type="dxa"/>
          </w:tcPr>
          <w:p w14:paraId="72A40232" w14:textId="40945B9A" w:rsidR="000F719D" w:rsidRPr="00F017C2" w:rsidRDefault="000F719D">
            <w:pPr>
              <w:rPr>
                <w:rFonts w:ascii="Arial" w:hAnsi="Arial" w:cs="Arial"/>
                <w:sz w:val="20"/>
                <w:szCs w:val="20"/>
              </w:rPr>
            </w:pPr>
            <w:r>
              <w:rPr>
                <w:rFonts w:ascii="Arial" w:hAnsi="Arial" w:cs="Arial"/>
                <w:sz w:val="20"/>
                <w:szCs w:val="20"/>
              </w:rPr>
              <w:t xml:space="preserve">1 – 3pm </w:t>
            </w:r>
          </w:p>
        </w:tc>
        <w:tc>
          <w:tcPr>
            <w:tcW w:w="1471" w:type="dxa"/>
          </w:tcPr>
          <w:p w14:paraId="022B2E62" w14:textId="0E65A094" w:rsidR="000F719D" w:rsidRPr="000F719D" w:rsidRDefault="000F719D" w:rsidP="000F719D">
            <w:pPr>
              <w:rPr>
                <w:rFonts w:ascii="Arial" w:hAnsi="Arial" w:cs="Arial"/>
                <w:sz w:val="20"/>
                <w:szCs w:val="20"/>
              </w:rPr>
            </w:pPr>
            <w:r w:rsidRPr="000F719D">
              <w:rPr>
                <w:rFonts w:ascii="Arial" w:hAnsi="Arial" w:cs="Arial"/>
                <w:sz w:val="20"/>
                <w:szCs w:val="20"/>
              </w:rPr>
              <w:t xml:space="preserve">Look back, </w:t>
            </w:r>
            <w:r w:rsidR="00640005">
              <w:rPr>
                <w:rFonts w:ascii="Arial" w:hAnsi="Arial" w:cs="Arial"/>
                <w:sz w:val="20"/>
                <w:szCs w:val="20"/>
              </w:rPr>
              <w:t>l</w:t>
            </w:r>
            <w:r w:rsidRPr="000F719D">
              <w:rPr>
                <w:rFonts w:ascii="Arial" w:hAnsi="Arial" w:cs="Arial"/>
                <w:sz w:val="20"/>
                <w:szCs w:val="20"/>
              </w:rPr>
              <w:t xml:space="preserve">ook forward - Influencing the future  </w:t>
            </w:r>
          </w:p>
          <w:p w14:paraId="5EF40723" w14:textId="7808BC42" w:rsidR="000F719D" w:rsidRPr="00F017C2" w:rsidRDefault="000F719D">
            <w:pPr>
              <w:rPr>
                <w:rFonts w:ascii="Arial" w:hAnsi="Arial" w:cs="Arial"/>
                <w:sz w:val="20"/>
                <w:szCs w:val="20"/>
              </w:rPr>
            </w:pPr>
          </w:p>
        </w:tc>
        <w:tc>
          <w:tcPr>
            <w:tcW w:w="3153" w:type="dxa"/>
          </w:tcPr>
          <w:p w14:paraId="61983B54" w14:textId="77777777" w:rsidR="000F719D" w:rsidRPr="000F719D" w:rsidRDefault="000F719D" w:rsidP="000F719D">
            <w:pPr>
              <w:rPr>
                <w:rFonts w:ascii="Arial" w:hAnsi="Arial" w:cs="Arial"/>
                <w:sz w:val="20"/>
                <w:szCs w:val="20"/>
              </w:rPr>
            </w:pPr>
            <w:r w:rsidRPr="000F719D">
              <w:rPr>
                <w:rFonts w:ascii="Arial" w:hAnsi="Arial" w:cs="Arial"/>
                <w:sz w:val="20"/>
                <w:szCs w:val="20"/>
                <w:lang w:val="en-US"/>
              </w:rPr>
              <w:t>WBG for interest and interpreting</w:t>
            </w:r>
          </w:p>
          <w:p w14:paraId="2828E547" w14:textId="77777777" w:rsidR="000F719D" w:rsidRPr="000F719D" w:rsidRDefault="000F719D" w:rsidP="000F719D">
            <w:pPr>
              <w:rPr>
                <w:rFonts w:ascii="Arial" w:hAnsi="Arial" w:cs="Arial"/>
                <w:sz w:val="20"/>
                <w:szCs w:val="20"/>
              </w:rPr>
            </w:pPr>
            <w:r w:rsidRPr="000F719D">
              <w:rPr>
                <w:rFonts w:ascii="Arial" w:hAnsi="Arial" w:cs="Arial"/>
                <w:sz w:val="20"/>
                <w:szCs w:val="20"/>
                <w:lang w:val="en-US"/>
              </w:rPr>
              <w:t>HRDs and HWB leads – how to support your Guardians</w:t>
            </w:r>
          </w:p>
          <w:p w14:paraId="52C2BA68" w14:textId="5F372521" w:rsidR="000F719D" w:rsidRPr="00F017C2" w:rsidRDefault="000F719D">
            <w:pPr>
              <w:rPr>
                <w:rFonts w:ascii="Arial" w:hAnsi="Arial" w:cs="Arial"/>
                <w:sz w:val="20"/>
                <w:szCs w:val="20"/>
              </w:rPr>
            </w:pPr>
          </w:p>
        </w:tc>
        <w:tc>
          <w:tcPr>
            <w:tcW w:w="4542" w:type="dxa"/>
          </w:tcPr>
          <w:p w14:paraId="78794E12" w14:textId="77777777" w:rsidR="000F719D" w:rsidRPr="000F719D" w:rsidRDefault="000F719D" w:rsidP="000F719D">
            <w:pPr>
              <w:rPr>
                <w:rFonts w:ascii="Arial" w:hAnsi="Arial" w:cs="Arial"/>
                <w:sz w:val="20"/>
                <w:szCs w:val="20"/>
              </w:rPr>
            </w:pPr>
            <w:r w:rsidRPr="000F719D">
              <w:rPr>
                <w:rFonts w:ascii="Arial" w:hAnsi="Arial" w:cs="Arial"/>
                <w:sz w:val="20"/>
                <w:szCs w:val="20"/>
              </w:rPr>
              <w:t xml:space="preserve">This slightly longer and interactive masterclass is designed to look back over the first year of the wellbeing guardian role implementation to celebrate what we have achieved so far, and also give space to consider what comes next. It will enable wellbeing guardians and those who support them such as HROD directors and wellbeing leads to use their collective voice to influence the future NHS wellbeing agenda, together. </w:t>
            </w:r>
          </w:p>
          <w:p w14:paraId="47D5B7FE" w14:textId="3286CD28" w:rsidR="000F719D" w:rsidRPr="00F017C2" w:rsidRDefault="000F719D">
            <w:pPr>
              <w:rPr>
                <w:rFonts w:ascii="Arial" w:hAnsi="Arial" w:cs="Arial"/>
                <w:sz w:val="20"/>
                <w:szCs w:val="20"/>
              </w:rPr>
            </w:pPr>
          </w:p>
        </w:tc>
        <w:tc>
          <w:tcPr>
            <w:tcW w:w="3711" w:type="dxa"/>
          </w:tcPr>
          <w:p w14:paraId="35678954" w14:textId="633059FF" w:rsidR="000F719D" w:rsidRPr="00F017C2" w:rsidRDefault="00CB0D5B">
            <w:pPr>
              <w:rPr>
                <w:rFonts w:ascii="Arial" w:hAnsi="Arial" w:cs="Arial"/>
                <w:sz w:val="20"/>
                <w:szCs w:val="20"/>
              </w:rPr>
            </w:pPr>
            <w:hyperlink r:id="rId15" w:history="1">
              <w:r w:rsidR="00640005">
                <w:rPr>
                  <w:rStyle w:val="Hyperlink"/>
                </w:rPr>
                <w:t>Look back, Look forward - Influencing the future (england.nhs.uk)</w:t>
              </w:r>
            </w:hyperlink>
          </w:p>
        </w:tc>
      </w:tr>
    </w:tbl>
    <w:p w14:paraId="4335FAFB" w14:textId="3748CA4B" w:rsidR="002C3BE6" w:rsidRDefault="002C3BE6"/>
    <w:sectPr w:rsidR="002C3BE6" w:rsidSect="00F017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9453D"/>
    <w:multiLevelType w:val="hybridMultilevel"/>
    <w:tmpl w:val="A72CCE6C"/>
    <w:lvl w:ilvl="0" w:tplc="CB6C98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E6"/>
    <w:rsid w:val="000575E5"/>
    <w:rsid w:val="00077C74"/>
    <w:rsid w:val="0009792B"/>
    <w:rsid w:val="000F3FCA"/>
    <w:rsid w:val="000F719D"/>
    <w:rsid w:val="00136FFE"/>
    <w:rsid w:val="00157A33"/>
    <w:rsid w:val="001B5A2D"/>
    <w:rsid w:val="00230014"/>
    <w:rsid w:val="00230D36"/>
    <w:rsid w:val="00256A9E"/>
    <w:rsid w:val="002C3BE6"/>
    <w:rsid w:val="00371E52"/>
    <w:rsid w:val="00493A9C"/>
    <w:rsid w:val="004B5D8F"/>
    <w:rsid w:val="005017EF"/>
    <w:rsid w:val="00535F16"/>
    <w:rsid w:val="005B3984"/>
    <w:rsid w:val="00640005"/>
    <w:rsid w:val="00665EA5"/>
    <w:rsid w:val="006C4244"/>
    <w:rsid w:val="007B5E4A"/>
    <w:rsid w:val="007C29D7"/>
    <w:rsid w:val="007E14F8"/>
    <w:rsid w:val="007F1C8B"/>
    <w:rsid w:val="008049E8"/>
    <w:rsid w:val="008810C7"/>
    <w:rsid w:val="008F2711"/>
    <w:rsid w:val="0093329D"/>
    <w:rsid w:val="00977980"/>
    <w:rsid w:val="009D014C"/>
    <w:rsid w:val="009D7C9E"/>
    <w:rsid w:val="00A06A21"/>
    <w:rsid w:val="00AA5149"/>
    <w:rsid w:val="00AE4035"/>
    <w:rsid w:val="00B34230"/>
    <w:rsid w:val="00B37E21"/>
    <w:rsid w:val="00B5229F"/>
    <w:rsid w:val="00BC3E0F"/>
    <w:rsid w:val="00BC505C"/>
    <w:rsid w:val="00BE49D7"/>
    <w:rsid w:val="00CB0D5B"/>
    <w:rsid w:val="00D17C3F"/>
    <w:rsid w:val="00DD69AE"/>
    <w:rsid w:val="00DF3E95"/>
    <w:rsid w:val="00E12741"/>
    <w:rsid w:val="00F017C2"/>
    <w:rsid w:val="00F1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FEC0"/>
  <w15:chartTrackingRefBased/>
  <w15:docId w15:val="{155A33BA-1C93-4755-BF25-7237F37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6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17C2"/>
    <w:pPr>
      <w:ind w:left="720"/>
      <w:contextualSpacing/>
    </w:pPr>
  </w:style>
  <w:style w:type="character" w:styleId="Hyperlink">
    <w:name w:val="Hyperlink"/>
    <w:basedOn w:val="DefaultParagraphFont"/>
    <w:uiPriority w:val="99"/>
    <w:unhideWhenUsed/>
    <w:rsid w:val="000F719D"/>
    <w:rPr>
      <w:color w:val="0563C1" w:themeColor="hyperlink"/>
      <w:u w:val="single"/>
    </w:rPr>
  </w:style>
  <w:style w:type="character" w:styleId="UnresolvedMention">
    <w:name w:val="Unresolved Mention"/>
    <w:basedOn w:val="DefaultParagraphFont"/>
    <w:uiPriority w:val="99"/>
    <w:semiHidden/>
    <w:unhideWhenUsed/>
    <w:rsid w:val="000F719D"/>
    <w:rPr>
      <w:color w:val="605E5C"/>
      <w:shd w:val="clear" w:color="auto" w:fill="E1DFDD"/>
    </w:rPr>
  </w:style>
  <w:style w:type="character" w:styleId="FollowedHyperlink">
    <w:name w:val="FollowedHyperlink"/>
    <w:basedOn w:val="DefaultParagraphFont"/>
    <w:uiPriority w:val="99"/>
    <w:semiHidden/>
    <w:unhideWhenUsed/>
    <w:rsid w:val="00AE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311">
      <w:bodyDiv w:val="1"/>
      <w:marLeft w:val="0"/>
      <w:marRight w:val="0"/>
      <w:marTop w:val="0"/>
      <w:marBottom w:val="0"/>
      <w:divBdr>
        <w:top w:val="none" w:sz="0" w:space="0" w:color="auto"/>
        <w:left w:val="none" w:sz="0" w:space="0" w:color="auto"/>
        <w:bottom w:val="none" w:sz="0" w:space="0" w:color="auto"/>
        <w:right w:val="none" w:sz="0" w:space="0" w:color="auto"/>
      </w:divBdr>
    </w:div>
    <w:div w:id="30961886">
      <w:bodyDiv w:val="1"/>
      <w:marLeft w:val="0"/>
      <w:marRight w:val="0"/>
      <w:marTop w:val="0"/>
      <w:marBottom w:val="0"/>
      <w:divBdr>
        <w:top w:val="none" w:sz="0" w:space="0" w:color="auto"/>
        <w:left w:val="none" w:sz="0" w:space="0" w:color="auto"/>
        <w:bottom w:val="none" w:sz="0" w:space="0" w:color="auto"/>
        <w:right w:val="none" w:sz="0" w:space="0" w:color="auto"/>
      </w:divBdr>
    </w:div>
    <w:div w:id="45565207">
      <w:bodyDiv w:val="1"/>
      <w:marLeft w:val="0"/>
      <w:marRight w:val="0"/>
      <w:marTop w:val="0"/>
      <w:marBottom w:val="0"/>
      <w:divBdr>
        <w:top w:val="none" w:sz="0" w:space="0" w:color="auto"/>
        <w:left w:val="none" w:sz="0" w:space="0" w:color="auto"/>
        <w:bottom w:val="none" w:sz="0" w:space="0" w:color="auto"/>
        <w:right w:val="none" w:sz="0" w:space="0" w:color="auto"/>
      </w:divBdr>
    </w:div>
    <w:div w:id="56975680">
      <w:bodyDiv w:val="1"/>
      <w:marLeft w:val="0"/>
      <w:marRight w:val="0"/>
      <w:marTop w:val="0"/>
      <w:marBottom w:val="0"/>
      <w:divBdr>
        <w:top w:val="none" w:sz="0" w:space="0" w:color="auto"/>
        <w:left w:val="none" w:sz="0" w:space="0" w:color="auto"/>
        <w:bottom w:val="none" w:sz="0" w:space="0" w:color="auto"/>
        <w:right w:val="none" w:sz="0" w:space="0" w:color="auto"/>
      </w:divBdr>
    </w:div>
    <w:div w:id="70078774">
      <w:bodyDiv w:val="1"/>
      <w:marLeft w:val="0"/>
      <w:marRight w:val="0"/>
      <w:marTop w:val="0"/>
      <w:marBottom w:val="0"/>
      <w:divBdr>
        <w:top w:val="none" w:sz="0" w:space="0" w:color="auto"/>
        <w:left w:val="none" w:sz="0" w:space="0" w:color="auto"/>
        <w:bottom w:val="none" w:sz="0" w:space="0" w:color="auto"/>
        <w:right w:val="none" w:sz="0" w:space="0" w:color="auto"/>
      </w:divBdr>
    </w:div>
    <w:div w:id="72901732">
      <w:bodyDiv w:val="1"/>
      <w:marLeft w:val="0"/>
      <w:marRight w:val="0"/>
      <w:marTop w:val="0"/>
      <w:marBottom w:val="0"/>
      <w:divBdr>
        <w:top w:val="none" w:sz="0" w:space="0" w:color="auto"/>
        <w:left w:val="none" w:sz="0" w:space="0" w:color="auto"/>
        <w:bottom w:val="none" w:sz="0" w:space="0" w:color="auto"/>
        <w:right w:val="none" w:sz="0" w:space="0" w:color="auto"/>
      </w:divBdr>
    </w:div>
    <w:div w:id="235093283">
      <w:bodyDiv w:val="1"/>
      <w:marLeft w:val="0"/>
      <w:marRight w:val="0"/>
      <w:marTop w:val="0"/>
      <w:marBottom w:val="0"/>
      <w:divBdr>
        <w:top w:val="none" w:sz="0" w:space="0" w:color="auto"/>
        <w:left w:val="none" w:sz="0" w:space="0" w:color="auto"/>
        <w:bottom w:val="none" w:sz="0" w:space="0" w:color="auto"/>
        <w:right w:val="none" w:sz="0" w:space="0" w:color="auto"/>
      </w:divBdr>
    </w:div>
    <w:div w:id="236476508">
      <w:bodyDiv w:val="1"/>
      <w:marLeft w:val="0"/>
      <w:marRight w:val="0"/>
      <w:marTop w:val="0"/>
      <w:marBottom w:val="0"/>
      <w:divBdr>
        <w:top w:val="none" w:sz="0" w:space="0" w:color="auto"/>
        <w:left w:val="none" w:sz="0" w:space="0" w:color="auto"/>
        <w:bottom w:val="none" w:sz="0" w:space="0" w:color="auto"/>
        <w:right w:val="none" w:sz="0" w:space="0" w:color="auto"/>
      </w:divBdr>
    </w:div>
    <w:div w:id="336663315">
      <w:bodyDiv w:val="1"/>
      <w:marLeft w:val="0"/>
      <w:marRight w:val="0"/>
      <w:marTop w:val="0"/>
      <w:marBottom w:val="0"/>
      <w:divBdr>
        <w:top w:val="none" w:sz="0" w:space="0" w:color="auto"/>
        <w:left w:val="none" w:sz="0" w:space="0" w:color="auto"/>
        <w:bottom w:val="none" w:sz="0" w:space="0" w:color="auto"/>
        <w:right w:val="none" w:sz="0" w:space="0" w:color="auto"/>
      </w:divBdr>
    </w:div>
    <w:div w:id="442728312">
      <w:bodyDiv w:val="1"/>
      <w:marLeft w:val="0"/>
      <w:marRight w:val="0"/>
      <w:marTop w:val="0"/>
      <w:marBottom w:val="0"/>
      <w:divBdr>
        <w:top w:val="none" w:sz="0" w:space="0" w:color="auto"/>
        <w:left w:val="none" w:sz="0" w:space="0" w:color="auto"/>
        <w:bottom w:val="none" w:sz="0" w:space="0" w:color="auto"/>
        <w:right w:val="none" w:sz="0" w:space="0" w:color="auto"/>
      </w:divBdr>
    </w:div>
    <w:div w:id="613943996">
      <w:bodyDiv w:val="1"/>
      <w:marLeft w:val="0"/>
      <w:marRight w:val="0"/>
      <w:marTop w:val="0"/>
      <w:marBottom w:val="0"/>
      <w:divBdr>
        <w:top w:val="none" w:sz="0" w:space="0" w:color="auto"/>
        <w:left w:val="none" w:sz="0" w:space="0" w:color="auto"/>
        <w:bottom w:val="none" w:sz="0" w:space="0" w:color="auto"/>
        <w:right w:val="none" w:sz="0" w:space="0" w:color="auto"/>
      </w:divBdr>
    </w:div>
    <w:div w:id="820583637">
      <w:bodyDiv w:val="1"/>
      <w:marLeft w:val="0"/>
      <w:marRight w:val="0"/>
      <w:marTop w:val="0"/>
      <w:marBottom w:val="0"/>
      <w:divBdr>
        <w:top w:val="none" w:sz="0" w:space="0" w:color="auto"/>
        <w:left w:val="none" w:sz="0" w:space="0" w:color="auto"/>
        <w:bottom w:val="none" w:sz="0" w:space="0" w:color="auto"/>
        <w:right w:val="none" w:sz="0" w:space="0" w:color="auto"/>
      </w:divBdr>
    </w:div>
    <w:div w:id="940069406">
      <w:bodyDiv w:val="1"/>
      <w:marLeft w:val="0"/>
      <w:marRight w:val="0"/>
      <w:marTop w:val="0"/>
      <w:marBottom w:val="0"/>
      <w:divBdr>
        <w:top w:val="none" w:sz="0" w:space="0" w:color="auto"/>
        <w:left w:val="none" w:sz="0" w:space="0" w:color="auto"/>
        <w:bottom w:val="none" w:sz="0" w:space="0" w:color="auto"/>
        <w:right w:val="none" w:sz="0" w:space="0" w:color="auto"/>
      </w:divBdr>
    </w:div>
    <w:div w:id="1085877894">
      <w:bodyDiv w:val="1"/>
      <w:marLeft w:val="0"/>
      <w:marRight w:val="0"/>
      <w:marTop w:val="0"/>
      <w:marBottom w:val="0"/>
      <w:divBdr>
        <w:top w:val="none" w:sz="0" w:space="0" w:color="auto"/>
        <w:left w:val="none" w:sz="0" w:space="0" w:color="auto"/>
        <w:bottom w:val="none" w:sz="0" w:space="0" w:color="auto"/>
        <w:right w:val="none" w:sz="0" w:space="0" w:color="auto"/>
      </w:divBdr>
    </w:div>
    <w:div w:id="1087270389">
      <w:bodyDiv w:val="1"/>
      <w:marLeft w:val="0"/>
      <w:marRight w:val="0"/>
      <w:marTop w:val="0"/>
      <w:marBottom w:val="0"/>
      <w:divBdr>
        <w:top w:val="none" w:sz="0" w:space="0" w:color="auto"/>
        <w:left w:val="none" w:sz="0" w:space="0" w:color="auto"/>
        <w:bottom w:val="none" w:sz="0" w:space="0" w:color="auto"/>
        <w:right w:val="none" w:sz="0" w:space="0" w:color="auto"/>
      </w:divBdr>
    </w:div>
    <w:div w:id="1121995098">
      <w:bodyDiv w:val="1"/>
      <w:marLeft w:val="0"/>
      <w:marRight w:val="0"/>
      <w:marTop w:val="0"/>
      <w:marBottom w:val="0"/>
      <w:divBdr>
        <w:top w:val="none" w:sz="0" w:space="0" w:color="auto"/>
        <w:left w:val="none" w:sz="0" w:space="0" w:color="auto"/>
        <w:bottom w:val="none" w:sz="0" w:space="0" w:color="auto"/>
        <w:right w:val="none" w:sz="0" w:space="0" w:color="auto"/>
      </w:divBdr>
    </w:div>
    <w:div w:id="1127285335">
      <w:bodyDiv w:val="1"/>
      <w:marLeft w:val="0"/>
      <w:marRight w:val="0"/>
      <w:marTop w:val="0"/>
      <w:marBottom w:val="0"/>
      <w:divBdr>
        <w:top w:val="none" w:sz="0" w:space="0" w:color="auto"/>
        <w:left w:val="none" w:sz="0" w:space="0" w:color="auto"/>
        <w:bottom w:val="none" w:sz="0" w:space="0" w:color="auto"/>
        <w:right w:val="none" w:sz="0" w:space="0" w:color="auto"/>
      </w:divBdr>
    </w:div>
    <w:div w:id="1369720130">
      <w:bodyDiv w:val="1"/>
      <w:marLeft w:val="0"/>
      <w:marRight w:val="0"/>
      <w:marTop w:val="0"/>
      <w:marBottom w:val="0"/>
      <w:divBdr>
        <w:top w:val="none" w:sz="0" w:space="0" w:color="auto"/>
        <w:left w:val="none" w:sz="0" w:space="0" w:color="auto"/>
        <w:bottom w:val="none" w:sz="0" w:space="0" w:color="auto"/>
        <w:right w:val="none" w:sz="0" w:space="0" w:color="auto"/>
      </w:divBdr>
    </w:div>
    <w:div w:id="1512715773">
      <w:bodyDiv w:val="1"/>
      <w:marLeft w:val="0"/>
      <w:marRight w:val="0"/>
      <w:marTop w:val="0"/>
      <w:marBottom w:val="0"/>
      <w:divBdr>
        <w:top w:val="none" w:sz="0" w:space="0" w:color="auto"/>
        <w:left w:val="none" w:sz="0" w:space="0" w:color="auto"/>
        <w:bottom w:val="none" w:sz="0" w:space="0" w:color="auto"/>
        <w:right w:val="none" w:sz="0" w:space="0" w:color="auto"/>
      </w:divBdr>
    </w:div>
    <w:div w:id="21246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vents.england.nhs.uk/events/health-and-wellbeing-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s.england.nhs.uk/events/health-and-wellbeing-framework-launch-ev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s.england.nhs.uk/events/community-conversations-61012a9558f66" TargetMode="External"/><Relationship Id="rId5" Type="http://schemas.openxmlformats.org/officeDocument/2006/relationships/styles" Target="styles.xml"/><Relationship Id="rId15" Type="http://schemas.openxmlformats.org/officeDocument/2006/relationships/hyperlink" Target="https://www.events.england.nhs.uk/events/what-we-have-achieved-so-far" TargetMode="External"/><Relationship Id="rId10" Type="http://schemas.openxmlformats.org/officeDocument/2006/relationships/hyperlink" Target="https://www.events.england.nhs.uk/events/looking-after-your-nhs-people" TargetMode="External"/><Relationship Id="rId4" Type="http://schemas.openxmlformats.org/officeDocument/2006/relationships/numbering" Target="numbering.xml"/><Relationship Id="rId9" Type="http://schemas.openxmlformats.org/officeDocument/2006/relationships/hyperlink" Target="https://www.events.england.nhs.uk/events/community-conversations-610123de8bc23" TargetMode="External"/><Relationship Id="rId14" Type="http://schemas.openxmlformats.org/officeDocument/2006/relationships/hyperlink" Target="https://www.events.england.nhs.uk/events/community-conversation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206eb2014843305bc5e4fa4152da4cad">
  <xsd:schema xmlns:xsd="http://www.w3.org/2001/XMLSchema" xmlns:xs="http://www.w3.org/2001/XMLSchema" xmlns:p="http://schemas.microsoft.com/office/2006/metadata/properties" xmlns:ns2="39110a9e-48f3-4a9c-a857-38a30a949163" targetNamespace="http://schemas.microsoft.com/office/2006/metadata/properties" ma:root="true" ma:fieldsID="1be186e31872b8cde35ad17e2c509c36" ns2:_="">
    <xsd:import namespace="39110a9e-48f3-4a9c-a857-38a30a949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E9B68-1A98-4871-A344-B6DA6035E3DD}">
  <ds:schemaRefs>
    <ds:schemaRef ds:uri="http://schemas.microsoft.com/sharepoint/v3/contenttype/forms"/>
  </ds:schemaRefs>
</ds:datastoreItem>
</file>

<file path=customXml/itemProps2.xml><?xml version="1.0" encoding="utf-8"?>
<ds:datastoreItem xmlns:ds="http://schemas.openxmlformats.org/officeDocument/2006/customXml" ds:itemID="{F22728EF-A0F3-4BC6-B79B-45B558489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BD1B-F636-42B0-8272-341892019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Small</dc:creator>
  <cp:keywords/>
  <dc:description/>
  <cp:lastModifiedBy>Samuel Jonas</cp:lastModifiedBy>
  <cp:revision>5</cp:revision>
  <dcterms:created xsi:type="dcterms:W3CDTF">2021-10-07T16:06:00Z</dcterms:created>
  <dcterms:modified xsi:type="dcterms:W3CDTF">2021-12-01T08:51:00Z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